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A02C5" w14:textId="77777777" w:rsidR="004A5CEF" w:rsidRDefault="00DE2EC8">
      <w:pPr>
        <w:shd w:val="clear" w:color="auto" w:fill="FFFFFF"/>
        <w:jc w:val="center"/>
        <w:rPr>
          <w:sz w:val="24"/>
          <w:szCs w:val="24"/>
        </w:rPr>
      </w:pPr>
      <w:r>
        <w:rPr>
          <w:b/>
          <w:noProof/>
          <w:sz w:val="28"/>
          <w:szCs w:val="28"/>
        </w:rPr>
        <w:drawing>
          <wp:inline distT="114300" distB="114300" distL="114300" distR="114300" wp14:anchorId="681FD150" wp14:editId="27ADE7A5">
            <wp:extent cx="1225387" cy="589660"/>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t="-12987" b="-10389"/>
                    <a:stretch>
                      <a:fillRect/>
                    </a:stretch>
                  </pic:blipFill>
                  <pic:spPr>
                    <a:xfrm>
                      <a:off x="0" y="0"/>
                      <a:ext cx="1225387" cy="589660"/>
                    </a:xfrm>
                    <a:prstGeom prst="rect">
                      <a:avLst/>
                    </a:prstGeom>
                    <a:ln/>
                  </pic:spPr>
                </pic:pic>
              </a:graphicData>
            </a:graphic>
          </wp:inline>
        </w:drawing>
      </w:r>
      <w:r>
        <w:rPr>
          <w:noProof/>
          <w:sz w:val="24"/>
          <w:szCs w:val="24"/>
        </w:rPr>
        <w:drawing>
          <wp:inline distT="114300" distB="114300" distL="114300" distR="114300" wp14:anchorId="559C68E6" wp14:editId="6C713617">
            <wp:extent cx="1687742" cy="595313"/>
            <wp:effectExtent l="0" t="0" r="0" b="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687742" cy="595313"/>
                    </a:xfrm>
                    <a:prstGeom prst="rect">
                      <a:avLst/>
                    </a:prstGeom>
                    <a:ln/>
                  </pic:spPr>
                </pic:pic>
              </a:graphicData>
            </a:graphic>
          </wp:inline>
        </w:drawing>
      </w:r>
    </w:p>
    <w:p w14:paraId="1FD91E94" w14:textId="77777777" w:rsidR="004A5CEF" w:rsidRDefault="004A5CEF">
      <w:pPr>
        <w:shd w:val="clear" w:color="auto" w:fill="FFFFFF"/>
        <w:jc w:val="center"/>
        <w:rPr>
          <w:sz w:val="24"/>
          <w:szCs w:val="24"/>
        </w:rPr>
      </w:pPr>
    </w:p>
    <w:p w14:paraId="549DD1FC" w14:textId="77777777" w:rsidR="004A5CEF" w:rsidRDefault="00DE2EC8">
      <w:pPr>
        <w:shd w:val="clear" w:color="auto" w:fill="FFFFFF"/>
        <w:rPr>
          <w:sz w:val="24"/>
          <w:szCs w:val="24"/>
        </w:rPr>
      </w:pPr>
      <w:r>
        <w:rPr>
          <w:b/>
          <w:sz w:val="24"/>
          <w:szCs w:val="24"/>
        </w:rPr>
        <w:t>PRESS RELEASE</w:t>
      </w:r>
      <w:r>
        <w:rPr>
          <w:sz w:val="24"/>
          <w:szCs w:val="24"/>
        </w:rPr>
        <w:t xml:space="preserve">  </w:t>
      </w:r>
    </w:p>
    <w:p w14:paraId="458D989F" w14:textId="30709579" w:rsidR="004A5CEF" w:rsidRDefault="00DE2EC8">
      <w:pPr>
        <w:shd w:val="clear" w:color="auto" w:fill="FFFFFF"/>
        <w:rPr>
          <w:color w:val="4472C4"/>
          <w:sz w:val="44"/>
          <w:szCs w:val="44"/>
        </w:rPr>
      </w:pPr>
      <w:r>
        <w:rPr>
          <w:b/>
          <w:color w:val="4472C4"/>
          <w:sz w:val="44"/>
          <w:szCs w:val="44"/>
        </w:rPr>
        <w:t>Ditching coal in steelmaking c</w:t>
      </w:r>
      <w:r w:rsidR="002174A5">
        <w:rPr>
          <w:b/>
          <w:color w:val="4472C4"/>
          <w:sz w:val="44"/>
          <w:szCs w:val="44"/>
        </w:rPr>
        <w:t>ould</w:t>
      </w:r>
      <w:r>
        <w:rPr>
          <w:b/>
          <w:color w:val="4472C4"/>
          <w:sz w:val="44"/>
          <w:szCs w:val="44"/>
        </w:rPr>
        <w:t xml:space="preserve"> save over 9,000 lives, new study shows</w:t>
      </w:r>
      <w:r>
        <w:rPr>
          <w:color w:val="4472C4"/>
          <w:sz w:val="44"/>
          <w:szCs w:val="44"/>
        </w:rPr>
        <w:t xml:space="preserve"> </w:t>
      </w:r>
    </w:p>
    <w:p w14:paraId="6424F110" w14:textId="77777777" w:rsidR="004A5CEF" w:rsidRDefault="00DE2EC8">
      <w:pPr>
        <w:shd w:val="clear" w:color="auto" w:fill="FFFFFF"/>
        <w:rPr>
          <w:sz w:val="24"/>
          <w:szCs w:val="24"/>
        </w:rPr>
      </w:pPr>
      <w:r>
        <w:rPr>
          <w:sz w:val="24"/>
          <w:szCs w:val="24"/>
        </w:rPr>
        <w:t xml:space="preserve"> </w:t>
      </w:r>
    </w:p>
    <w:p w14:paraId="7840E2D4" w14:textId="77777777" w:rsidR="004A5CEF" w:rsidRDefault="00DE2EC8">
      <w:pPr>
        <w:shd w:val="clear" w:color="auto" w:fill="FFFFFF"/>
        <w:rPr>
          <w:sz w:val="24"/>
          <w:szCs w:val="24"/>
        </w:rPr>
      </w:pPr>
      <w:r>
        <w:rPr>
          <w:b/>
          <w:sz w:val="24"/>
          <w:szCs w:val="24"/>
        </w:rPr>
        <w:t>Steel decarbonization can have massive climate and public health benefits.</w:t>
      </w:r>
      <w:r>
        <w:rPr>
          <w:sz w:val="24"/>
          <w:szCs w:val="24"/>
        </w:rPr>
        <w:t xml:space="preserve"> </w:t>
      </w:r>
    </w:p>
    <w:p w14:paraId="6C4ACE0F" w14:textId="77777777" w:rsidR="004A5CEF" w:rsidRDefault="00DE2EC8">
      <w:pPr>
        <w:shd w:val="clear" w:color="auto" w:fill="FFFFFF"/>
        <w:rPr>
          <w:sz w:val="24"/>
          <w:szCs w:val="24"/>
        </w:rPr>
      </w:pPr>
      <w:r>
        <w:rPr>
          <w:sz w:val="24"/>
          <w:szCs w:val="24"/>
        </w:rPr>
        <w:t xml:space="preserve"> </w:t>
      </w:r>
    </w:p>
    <w:p w14:paraId="0CCFF6C9" w14:textId="01D5DAF4" w:rsidR="004A5CEF" w:rsidRDefault="00DE2EC8">
      <w:pPr>
        <w:shd w:val="clear" w:color="auto" w:fill="FFFFFF"/>
        <w:rPr>
          <w:sz w:val="24"/>
          <w:szCs w:val="24"/>
        </w:rPr>
      </w:pPr>
      <w:r>
        <w:rPr>
          <w:b/>
          <w:sz w:val="24"/>
          <w:szCs w:val="24"/>
        </w:rPr>
        <w:t xml:space="preserve">November 28, 2022 </w:t>
      </w:r>
      <w:r>
        <w:rPr>
          <w:sz w:val="24"/>
          <w:szCs w:val="24"/>
        </w:rPr>
        <w:t xml:space="preserve">– </w:t>
      </w:r>
      <w:r>
        <w:rPr>
          <w:sz w:val="24"/>
          <w:szCs w:val="24"/>
        </w:rPr>
        <w:t>Transitioning away from coal-based steelmaking in South Korea</w:t>
      </w:r>
      <w:r w:rsidR="002174A5">
        <w:rPr>
          <w:sz w:val="24"/>
          <w:szCs w:val="24"/>
        </w:rPr>
        <w:t xml:space="preserve"> - the world’s</w:t>
      </w:r>
      <w:hyperlink r:id="rId7">
        <w:r w:rsidR="002174A5">
          <w:rPr>
            <w:sz w:val="24"/>
            <w:szCs w:val="24"/>
          </w:rPr>
          <w:t xml:space="preserve"> </w:t>
        </w:r>
      </w:hyperlink>
      <w:hyperlink r:id="rId8">
        <w:r w:rsidR="002174A5">
          <w:rPr>
            <w:color w:val="0563C1"/>
            <w:sz w:val="24"/>
            <w:szCs w:val="24"/>
            <w:u w:val="single"/>
          </w:rPr>
          <w:t>sixth largest</w:t>
        </w:r>
      </w:hyperlink>
      <w:r w:rsidR="002174A5">
        <w:rPr>
          <w:sz w:val="24"/>
          <w:szCs w:val="24"/>
        </w:rPr>
        <w:t xml:space="preserve"> steel-producing country -</w:t>
      </w:r>
      <w:r>
        <w:rPr>
          <w:sz w:val="24"/>
          <w:szCs w:val="24"/>
        </w:rPr>
        <w:t xml:space="preserve"> </w:t>
      </w:r>
      <w:r w:rsidR="002174A5">
        <w:rPr>
          <w:sz w:val="24"/>
          <w:szCs w:val="24"/>
        </w:rPr>
        <w:t>could</w:t>
      </w:r>
      <w:r>
        <w:rPr>
          <w:sz w:val="24"/>
          <w:szCs w:val="24"/>
        </w:rPr>
        <w:t xml:space="preserve"> save over 9,000 lives across East Asia between 2022 and 2050, according to a new study by Solutions for Our Climate (SFOC) and the Centre for Research on Energy and Clean A</w:t>
      </w:r>
      <w:r>
        <w:rPr>
          <w:sz w:val="24"/>
          <w:szCs w:val="24"/>
        </w:rPr>
        <w:t xml:space="preserve">ir (CREA) published today. </w:t>
      </w:r>
    </w:p>
    <w:p w14:paraId="043D7ED0" w14:textId="46369F92" w:rsidR="002174A5" w:rsidRDefault="002174A5">
      <w:pPr>
        <w:shd w:val="clear" w:color="auto" w:fill="FFFFFF"/>
        <w:rPr>
          <w:sz w:val="24"/>
          <w:szCs w:val="24"/>
        </w:rPr>
      </w:pPr>
    </w:p>
    <w:p w14:paraId="389482BD" w14:textId="5ACAF414" w:rsidR="002174A5" w:rsidRDefault="002174A5">
      <w:pPr>
        <w:shd w:val="clear" w:color="auto" w:fill="FFFFFF"/>
        <w:rPr>
          <w:sz w:val="24"/>
          <w:szCs w:val="24"/>
        </w:rPr>
      </w:pPr>
      <w:r w:rsidRPr="002174A5">
        <w:rPr>
          <w:sz w:val="24"/>
          <w:szCs w:val="24"/>
        </w:rPr>
        <w:t>The study shows that air pollution from South Korea’s three coal-fired steel plants, two of which are operated by POSCO and one by Hyundai, could cause an estimated 19,400 premature deaths by 2050 under a current policy scenario.</w:t>
      </w:r>
      <w:r>
        <w:rPr>
          <w:sz w:val="24"/>
          <w:szCs w:val="24"/>
        </w:rPr>
        <w:t xml:space="preserve"> The economic burden of air pollution could amount to KRW 127 trillion (USD 111 billion) due to higher healthcare costs and reduced productivity.</w:t>
      </w:r>
    </w:p>
    <w:p w14:paraId="213B2EB3" w14:textId="77777777" w:rsidR="004A5CEF" w:rsidRDefault="00DE2EC8">
      <w:pPr>
        <w:shd w:val="clear" w:color="auto" w:fill="FFFFFF"/>
        <w:rPr>
          <w:sz w:val="24"/>
          <w:szCs w:val="24"/>
        </w:rPr>
      </w:pPr>
      <w:r>
        <w:rPr>
          <w:sz w:val="24"/>
          <w:szCs w:val="24"/>
        </w:rPr>
        <w:t xml:space="preserve"> </w:t>
      </w:r>
    </w:p>
    <w:p w14:paraId="51225691" w14:textId="331C4572" w:rsidR="002174A5" w:rsidRDefault="002174A5">
      <w:pPr>
        <w:shd w:val="clear" w:color="auto" w:fill="FFFFFF"/>
        <w:rPr>
          <w:sz w:val="24"/>
          <w:szCs w:val="24"/>
        </w:rPr>
      </w:pPr>
      <w:r w:rsidRPr="002174A5">
        <w:rPr>
          <w:sz w:val="24"/>
          <w:szCs w:val="24"/>
        </w:rPr>
        <w:t xml:space="preserve">The number of fatalities almost halves under </w:t>
      </w:r>
      <w:r w:rsidR="00512DA3">
        <w:rPr>
          <w:sz w:val="24"/>
          <w:szCs w:val="24"/>
        </w:rPr>
        <w:t xml:space="preserve">the study’s </w:t>
      </w:r>
      <w:r w:rsidRPr="002174A5">
        <w:rPr>
          <w:sz w:val="24"/>
          <w:szCs w:val="24"/>
        </w:rPr>
        <w:t>2050 carbon neutrality roadmap</w:t>
      </w:r>
      <w:r w:rsidR="00512DA3">
        <w:rPr>
          <w:sz w:val="24"/>
          <w:szCs w:val="24"/>
        </w:rPr>
        <w:t xml:space="preserve"> for steel in South Korea</w:t>
      </w:r>
      <w:r w:rsidRPr="002174A5">
        <w:rPr>
          <w:sz w:val="24"/>
          <w:szCs w:val="24"/>
        </w:rPr>
        <w:t xml:space="preserve">, which envisages the </w:t>
      </w:r>
      <w:r w:rsidR="00512DA3">
        <w:rPr>
          <w:sz w:val="24"/>
          <w:szCs w:val="24"/>
        </w:rPr>
        <w:t>phase-out</w:t>
      </w:r>
      <w:r w:rsidRPr="002174A5">
        <w:rPr>
          <w:sz w:val="24"/>
          <w:szCs w:val="24"/>
        </w:rPr>
        <w:t xml:space="preserve"> of traditional blast furnace technology </w:t>
      </w:r>
      <w:r>
        <w:rPr>
          <w:sz w:val="24"/>
          <w:szCs w:val="24"/>
        </w:rPr>
        <w:t xml:space="preserve">and </w:t>
      </w:r>
      <w:r w:rsidR="00512DA3">
        <w:rPr>
          <w:sz w:val="24"/>
          <w:szCs w:val="24"/>
        </w:rPr>
        <w:t>the adoption of</w:t>
      </w:r>
      <w:r>
        <w:rPr>
          <w:sz w:val="24"/>
          <w:szCs w:val="24"/>
        </w:rPr>
        <w:t xml:space="preserve"> renewable and green</w:t>
      </w:r>
      <w:r w:rsidRPr="002174A5">
        <w:rPr>
          <w:sz w:val="24"/>
          <w:szCs w:val="24"/>
        </w:rPr>
        <w:t xml:space="preserve"> hydrogen-based steelmaking technology</w:t>
      </w:r>
      <w:r>
        <w:rPr>
          <w:sz w:val="24"/>
          <w:szCs w:val="24"/>
        </w:rPr>
        <w:t>.</w:t>
      </w:r>
      <w:r>
        <w:rPr>
          <w:rFonts w:hint="eastAsia"/>
          <w:sz w:val="24"/>
          <w:szCs w:val="24"/>
        </w:rPr>
        <w:t xml:space="preserve"> </w:t>
      </w:r>
      <w:r w:rsidRPr="002174A5">
        <w:rPr>
          <w:sz w:val="24"/>
          <w:szCs w:val="24"/>
        </w:rPr>
        <w:t>Cleaning up the steel sector could also lead to savings of approximately</w:t>
      </w:r>
      <w:r>
        <w:rPr>
          <w:sz w:val="24"/>
          <w:szCs w:val="24"/>
        </w:rPr>
        <w:t xml:space="preserve"> KRW 61 trillion (USD </w:t>
      </w:r>
      <w:r w:rsidRPr="002174A5">
        <w:rPr>
          <w:sz w:val="24"/>
          <w:szCs w:val="24"/>
        </w:rPr>
        <w:t>53 million</w:t>
      </w:r>
      <w:r>
        <w:rPr>
          <w:sz w:val="24"/>
          <w:szCs w:val="24"/>
        </w:rPr>
        <w:t xml:space="preserve">) </w:t>
      </w:r>
      <w:r w:rsidRPr="002174A5">
        <w:rPr>
          <w:sz w:val="24"/>
          <w:szCs w:val="24"/>
        </w:rPr>
        <w:t>over the same period</w:t>
      </w:r>
      <w:r>
        <w:rPr>
          <w:sz w:val="24"/>
          <w:szCs w:val="24"/>
        </w:rPr>
        <w:t>.</w:t>
      </w:r>
    </w:p>
    <w:p w14:paraId="5EA0F995" w14:textId="6093BACB" w:rsidR="00D027D2" w:rsidRDefault="00D027D2">
      <w:pPr>
        <w:shd w:val="clear" w:color="auto" w:fill="FFFFFF"/>
        <w:rPr>
          <w:sz w:val="24"/>
          <w:szCs w:val="24"/>
        </w:rPr>
      </w:pPr>
    </w:p>
    <w:p w14:paraId="1E71ECA4" w14:textId="744F86C9" w:rsidR="00D027D2" w:rsidRPr="00D027D2" w:rsidRDefault="00D027D2">
      <w:pPr>
        <w:shd w:val="clear" w:color="auto" w:fill="FFFFFF"/>
        <w:rPr>
          <w:rFonts w:hint="eastAsia"/>
          <w:sz w:val="24"/>
          <w:szCs w:val="24"/>
        </w:rPr>
      </w:pPr>
      <w:r w:rsidRPr="00D027D2">
        <w:rPr>
          <w:sz w:val="24"/>
          <w:szCs w:val="24"/>
        </w:rPr>
        <w:t>While committing to green hydrogen-based steelmaking, POSCO, the world’s sixth largest steelmaker, is expanding the highly polluting blast furnace technology overseas: it is currently planning to build new blast furnaces in India and Indonesia.</w:t>
      </w:r>
    </w:p>
    <w:p w14:paraId="4F9DAB09" w14:textId="5C19D6B2" w:rsidR="004A5CEF" w:rsidRDefault="004A5CEF">
      <w:pPr>
        <w:shd w:val="clear" w:color="auto" w:fill="FFFFFF"/>
        <w:rPr>
          <w:sz w:val="24"/>
          <w:szCs w:val="24"/>
        </w:rPr>
      </w:pPr>
    </w:p>
    <w:p w14:paraId="6EB74A50" w14:textId="77777777" w:rsidR="004A5CEF" w:rsidRDefault="00DE2EC8">
      <w:pPr>
        <w:shd w:val="clear" w:color="auto" w:fill="FFFFFF"/>
        <w:rPr>
          <w:sz w:val="24"/>
          <w:szCs w:val="24"/>
        </w:rPr>
      </w:pPr>
      <w:r>
        <w:rPr>
          <w:sz w:val="24"/>
          <w:szCs w:val="24"/>
        </w:rPr>
        <w:t>“Coal-based steelmaking emits greenhouse gases and other air pollutants deadly to both the climate and human health. Hence, the Korean steel industry must set concrete decarbonization plans to not only meet our 1.5C tar</w:t>
      </w:r>
      <w:r>
        <w:rPr>
          <w:sz w:val="24"/>
          <w:szCs w:val="24"/>
        </w:rPr>
        <w:t xml:space="preserve">get but also to save lives,” said </w:t>
      </w:r>
      <w:r>
        <w:rPr>
          <w:b/>
          <w:sz w:val="24"/>
          <w:szCs w:val="24"/>
        </w:rPr>
        <w:t>Geunha Kim, researcher at SFOC and the author of the study.</w:t>
      </w:r>
      <w:r>
        <w:rPr>
          <w:sz w:val="24"/>
          <w:szCs w:val="24"/>
        </w:rPr>
        <w:t xml:space="preserve"> Coal is the world’s largest contributor to carbon pollution.  </w:t>
      </w:r>
    </w:p>
    <w:p w14:paraId="08AADB4C" w14:textId="77777777" w:rsidR="004A5CEF" w:rsidRDefault="00DE2EC8">
      <w:pPr>
        <w:shd w:val="clear" w:color="auto" w:fill="FFFFFF"/>
        <w:rPr>
          <w:sz w:val="24"/>
          <w:szCs w:val="24"/>
        </w:rPr>
      </w:pPr>
      <w:r>
        <w:rPr>
          <w:sz w:val="24"/>
          <w:szCs w:val="24"/>
        </w:rPr>
        <w:t xml:space="preserve"> </w:t>
      </w:r>
    </w:p>
    <w:p w14:paraId="1DABAC62" w14:textId="77777777" w:rsidR="004A5CEF" w:rsidRDefault="00DE2EC8">
      <w:pPr>
        <w:shd w:val="clear" w:color="auto" w:fill="FFFFFF"/>
        <w:rPr>
          <w:sz w:val="24"/>
          <w:szCs w:val="24"/>
        </w:rPr>
      </w:pPr>
      <w:r>
        <w:rPr>
          <w:sz w:val="24"/>
          <w:szCs w:val="24"/>
        </w:rPr>
        <w:t xml:space="preserve"> </w:t>
      </w:r>
    </w:p>
    <w:p w14:paraId="5E00E0CD" w14:textId="77777777" w:rsidR="004A5CEF" w:rsidRDefault="00DE2EC8">
      <w:pPr>
        <w:shd w:val="clear" w:color="auto" w:fill="FFFFFF"/>
        <w:jc w:val="center"/>
        <w:rPr>
          <w:sz w:val="24"/>
          <w:szCs w:val="24"/>
        </w:rPr>
      </w:pPr>
      <w:r>
        <w:rPr>
          <w:noProof/>
          <w:sz w:val="24"/>
          <w:szCs w:val="24"/>
        </w:rPr>
        <w:drawing>
          <wp:inline distT="114300" distB="114300" distL="114300" distR="114300" wp14:anchorId="4E34F7D5" wp14:editId="61147A5F">
            <wp:extent cx="3187700" cy="2997200"/>
            <wp:effectExtent l="0" t="0" r="0" b="0"/>
            <wp:docPr id="2" name="image2.png" descr="Map&#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Map&#10;&#10;Description automatically generated"/>
                    <pic:cNvPicPr preferRelativeResize="0"/>
                  </pic:nvPicPr>
                  <pic:blipFill>
                    <a:blip r:embed="rId9"/>
                    <a:srcRect/>
                    <a:stretch>
                      <a:fillRect/>
                    </a:stretch>
                  </pic:blipFill>
                  <pic:spPr>
                    <a:xfrm>
                      <a:off x="0" y="0"/>
                      <a:ext cx="3187700" cy="2997200"/>
                    </a:xfrm>
                    <a:prstGeom prst="rect">
                      <a:avLst/>
                    </a:prstGeom>
                    <a:ln/>
                  </pic:spPr>
                </pic:pic>
              </a:graphicData>
            </a:graphic>
          </wp:inline>
        </w:drawing>
      </w:r>
    </w:p>
    <w:p w14:paraId="62BCF0F6" w14:textId="77777777" w:rsidR="004A5CEF" w:rsidRDefault="00DE2EC8">
      <w:pPr>
        <w:shd w:val="clear" w:color="auto" w:fill="FFFFFF"/>
        <w:jc w:val="center"/>
        <w:rPr>
          <w:sz w:val="24"/>
          <w:szCs w:val="24"/>
        </w:rPr>
      </w:pPr>
      <w:r>
        <w:rPr>
          <w:sz w:val="24"/>
          <w:szCs w:val="24"/>
        </w:rPr>
        <w:t xml:space="preserve"> </w:t>
      </w:r>
    </w:p>
    <w:p w14:paraId="0574FB11" w14:textId="77777777" w:rsidR="004A5CEF" w:rsidRDefault="00DE2EC8">
      <w:pPr>
        <w:shd w:val="clear" w:color="auto" w:fill="FFFFFF"/>
        <w:rPr>
          <w:sz w:val="24"/>
          <w:szCs w:val="24"/>
        </w:rPr>
      </w:pPr>
      <w:r>
        <w:rPr>
          <w:sz w:val="24"/>
          <w:szCs w:val="24"/>
        </w:rPr>
        <w:t xml:space="preserve">Findings also show that air pollutants, such as </w:t>
      </w:r>
      <w:proofErr w:type="spellStart"/>
      <w:r>
        <w:rPr>
          <w:sz w:val="24"/>
          <w:szCs w:val="24"/>
        </w:rPr>
        <w:t>sulfur</w:t>
      </w:r>
      <w:proofErr w:type="spellEnd"/>
      <w:r>
        <w:rPr>
          <w:sz w:val="24"/>
          <w:szCs w:val="24"/>
        </w:rPr>
        <w:t xml:space="preserve"> dioxide, nitrogen dioxide and partic</w:t>
      </w:r>
      <w:r>
        <w:rPr>
          <w:sz w:val="24"/>
          <w:szCs w:val="24"/>
        </w:rPr>
        <w:t xml:space="preserve">ulate matter, are concentrated in areas with steel plants. In North </w:t>
      </w:r>
      <w:proofErr w:type="spellStart"/>
      <w:r>
        <w:rPr>
          <w:sz w:val="24"/>
          <w:szCs w:val="24"/>
        </w:rPr>
        <w:t>Gyeongsang</w:t>
      </w:r>
      <w:proofErr w:type="spellEnd"/>
      <w:r>
        <w:rPr>
          <w:sz w:val="24"/>
          <w:szCs w:val="24"/>
        </w:rPr>
        <w:t xml:space="preserve"> and South Chungcheong provinces, steel plants were the number one source of air pollutants in 2021. For instance, POSCO’s Pohang steel mill accounted for up to 76 percent of the</w:t>
      </w:r>
      <w:r>
        <w:rPr>
          <w:sz w:val="24"/>
          <w:szCs w:val="24"/>
        </w:rPr>
        <w:t xml:space="preserve"> North </w:t>
      </w:r>
      <w:proofErr w:type="spellStart"/>
      <w:r>
        <w:rPr>
          <w:sz w:val="24"/>
          <w:szCs w:val="24"/>
        </w:rPr>
        <w:t>Gyeongsang</w:t>
      </w:r>
      <w:proofErr w:type="spellEnd"/>
      <w:r>
        <w:rPr>
          <w:sz w:val="24"/>
          <w:szCs w:val="24"/>
        </w:rPr>
        <w:t xml:space="preserve"> province’s annual air pollution. </w:t>
      </w:r>
    </w:p>
    <w:p w14:paraId="73D06BA7" w14:textId="77777777" w:rsidR="004A5CEF" w:rsidRDefault="00DE2EC8">
      <w:pPr>
        <w:shd w:val="clear" w:color="auto" w:fill="FFFFFF"/>
        <w:rPr>
          <w:color w:val="FF0000"/>
          <w:sz w:val="24"/>
          <w:szCs w:val="24"/>
        </w:rPr>
      </w:pPr>
      <w:r>
        <w:rPr>
          <w:color w:val="FF0000"/>
          <w:sz w:val="24"/>
          <w:szCs w:val="24"/>
        </w:rPr>
        <w:t xml:space="preserve"> </w:t>
      </w:r>
    </w:p>
    <w:p w14:paraId="1DBED384" w14:textId="77777777" w:rsidR="004A5CEF" w:rsidRDefault="00DE2EC8">
      <w:pPr>
        <w:shd w:val="clear" w:color="auto" w:fill="FFFFFF"/>
        <w:rPr>
          <w:sz w:val="24"/>
          <w:szCs w:val="24"/>
        </w:rPr>
      </w:pPr>
      <w:r>
        <w:rPr>
          <w:sz w:val="24"/>
          <w:szCs w:val="24"/>
        </w:rPr>
        <w:t xml:space="preserve">Today, at demonstrations occurring in three different cities simultaneously, local community members spoke up: </w:t>
      </w:r>
    </w:p>
    <w:p w14:paraId="3CC52D85" w14:textId="77777777" w:rsidR="004A5CEF" w:rsidRDefault="00DE2EC8">
      <w:pPr>
        <w:shd w:val="clear" w:color="auto" w:fill="FFFFFF"/>
        <w:rPr>
          <w:sz w:val="24"/>
          <w:szCs w:val="24"/>
        </w:rPr>
      </w:pPr>
      <w:r>
        <w:rPr>
          <w:sz w:val="24"/>
          <w:szCs w:val="24"/>
        </w:rPr>
        <w:t xml:space="preserve"> </w:t>
      </w:r>
    </w:p>
    <w:p w14:paraId="7370147D" w14:textId="77777777" w:rsidR="004A5CEF" w:rsidRDefault="00DE2EC8">
      <w:pPr>
        <w:shd w:val="clear" w:color="auto" w:fill="FFFFFF"/>
        <w:rPr>
          <w:sz w:val="24"/>
          <w:szCs w:val="24"/>
        </w:rPr>
      </w:pPr>
      <w:r>
        <w:rPr>
          <w:sz w:val="24"/>
          <w:szCs w:val="24"/>
        </w:rPr>
        <w:t>“POSCO-operated Pohang plant is the oldest steel facility in Korea, which has exposed co</w:t>
      </w:r>
      <w:r>
        <w:rPr>
          <w:sz w:val="24"/>
          <w:szCs w:val="24"/>
        </w:rPr>
        <w:t xml:space="preserve">mmunities to environmental harms and toxic air pollutants for over 50 years,” said </w:t>
      </w:r>
      <w:proofErr w:type="spellStart"/>
      <w:r>
        <w:rPr>
          <w:b/>
          <w:sz w:val="24"/>
          <w:szCs w:val="24"/>
        </w:rPr>
        <w:t>Chimgwi</w:t>
      </w:r>
      <w:proofErr w:type="spellEnd"/>
      <w:r>
        <w:rPr>
          <w:b/>
          <w:sz w:val="24"/>
          <w:szCs w:val="24"/>
        </w:rPr>
        <w:t xml:space="preserve"> Jeong, the head of Pohang Korean Federation for Environmental Movements</w:t>
      </w:r>
      <w:r>
        <w:rPr>
          <w:sz w:val="24"/>
          <w:szCs w:val="24"/>
        </w:rPr>
        <w:t xml:space="preserve">. “Hydrogen-based steelmaking is without a doubt critical to achieving carbon neutrality, and </w:t>
      </w:r>
      <w:r>
        <w:rPr>
          <w:sz w:val="24"/>
          <w:szCs w:val="24"/>
        </w:rPr>
        <w:t xml:space="preserve">in doing so, there must be a roadmap for emissions reduction and safety.”  </w:t>
      </w:r>
    </w:p>
    <w:p w14:paraId="2DCF0310" w14:textId="77777777" w:rsidR="004A5CEF" w:rsidRDefault="00DE2EC8">
      <w:pPr>
        <w:shd w:val="clear" w:color="auto" w:fill="FFFFFF"/>
        <w:rPr>
          <w:sz w:val="24"/>
          <w:szCs w:val="24"/>
        </w:rPr>
      </w:pPr>
      <w:r>
        <w:rPr>
          <w:sz w:val="24"/>
          <w:szCs w:val="24"/>
        </w:rPr>
        <w:t xml:space="preserve"> </w:t>
      </w:r>
    </w:p>
    <w:p w14:paraId="38928CBC" w14:textId="738CD9C0" w:rsidR="00512DA3" w:rsidRDefault="00DD2DFC">
      <w:pPr>
        <w:shd w:val="clear" w:color="auto" w:fill="FFFFFF"/>
        <w:rPr>
          <w:sz w:val="24"/>
          <w:szCs w:val="24"/>
        </w:rPr>
      </w:pPr>
      <w:r>
        <w:rPr>
          <w:sz w:val="24"/>
          <w:szCs w:val="24"/>
        </w:rPr>
        <w:t>Blast furnace-basic oxygen furnaces (BF-BOFs), a c</w:t>
      </w:r>
      <w:r w:rsidR="00512DA3">
        <w:rPr>
          <w:sz w:val="24"/>
          <w:szCs w:val="24"/>
        </w:rPr>
        <w:t xml:space="preserve">oal-based steel production, </w:t>
      </w:r>
      <w:r>
        <w:rPr>
          <w:sz w:val="24"/>
          <w:szCs w:val="24"/>
        </w:rPr>
        <w:t>account for</w:t>
      </w:r>
      <w:r w:rsidR="00512DA3">
        <w:rPr>
          <w:sz w:val="24"/>
          <w:szCs w:val="24"/>
        </w:rPr>
        <w:t xml:space="preserve"> approximately</w:t>
      </w:r>
      <w:hyperlink r:id="rId10">
        <w:r w:rsidR="00512DA3">
          <w:rPr>
            <w:sz w:val="24"/>
            <w:szCs w:val="24"/>
          </w:rPr>
          <w:t xml:space="preserve"> </w:t>
        </w:r>
      </w:hyperlink>
      <w:hyperlink r:id="rId11">
        <w:r w:rsidR="00512DA3">
          <w:rPr>
            <w:color w:val="0563C1"/>
            <w:sz w:val="24"/>
            <w:szCs w:val="24"/>
            <w:u w:val="single"/>
          </w:rPr>
          <w:t>70 percent</w:t>
        </w:r>
      </w:hyperlink>
      <w:r w:rsidR="00512DA3">
        <w:rPr>
          <w:sz w:val="24"/>
          <w:szCs w:val="24"/>
        </w:rPr>
        <w:t xml:space="preserve"> of global </w:t>
      </w:r>
      <w:r>
        <w:rPr>
          <w:sz w:val="24"/>
          <w:szCs w:val="24"/>
        </w:rPr>
        <w:t>steel production</w:t>
      </w:r>
      <w:r w:rsidR="00512DA3">
        <w:rPr>
          <w:sz w:val="24"/>
          <w:szCs w:val="24"/>
        </w:rPr>
        <w:t>.</w:t>
      </w:r>
      <w:r w:rsidR="00A510AB">
        <w:rPr>
          <w:sz w:val="24"/>
          <w:szCs w:val="24"/>
        </w:rPr>
        <w:t xml:space="preserve"> </w:t>
      </w:r>
      <w:r w:rsidR="00D027D2">
        <w:rPr>
          <w:sz w:val="24"/>
          <w:szCs w:val="24"/>
        </w:rPr>
        <w:t xml:space="preserve">However, with increasing </w:t>
      </w:r>
      <w:r w:rsidR="00512DA3" w:rsidRPr="00512DA3">
        <w:rPr>
          <w:sz w:val="24"/>
          <w:szCs w:val="24"/>
        </w:rPr>
        <w:t xml:space="preserve">scrutiny </w:t>
      </w:r>
      <w:r w:rsidR="00512DA3">
        <w:rPr>
          <w:sz w:val="24"/>
          <w:szCs w:val="24"/>
        </w:rPr>
        <w:t>of</w:t>
      </w:r>
      <w:r w:rsidR="00512DA3" w:rsidRPr="00512DA3">
        <w:rPr>
          <w:sz w:val="24"/>
          <w:szCs w:val="24"/>
        </w:rPr>
        <w:t xml:space="preserve"> the steel sector</w:t>
      </w:r>
      <w:r w:rsidR="00542A1F">
        <w:rPr>
          <w:sz w:val="24"/>
          <w:szCs w:val="24"/>
        </w:rPr>
        <w:t xml:space="preserve">, global steelmakers are </w:t>
      </w:r>
      <w:r>
        <w:rPr>
          <w:sz w:val="24"/>
          <w:szCs w:val="24"/>
        </w:rPr>
        <w:t xml:space="preserve">beginning to </w:t>
      </w:r>
      <w:r w:rsidR="00542A1F">
        <w:rPr>
          <w:sz w:val="24"/>
          <w:szCs w:val="24"/>
        </w:rPr>
        <w:t>mak</w:t>
      </w:r>
      <w:r>
        <w:rPr>
          <w:sz w:val="24"/>
          <w:szCs w:val="24"/>
        </w:rPr>
        <w:t>e</w:t>
      </w:r>
      <w:r w:rsidR="00512DA3" w:rsidRPr="00512DA3">
        <w:rPr>
          <w:sz w:val="24"/>
          <w:szCs w:val="24"/>
        </w:rPr>
        <w:t xml:space="preserve"> a flurry of announcements on developing cleaner production methods.</w:t>
      </w:r>
    </w:p>
    <w:p w14:paraId="37DF0EFC" w14:textId="72F554A4" w:rsidR="004A5CEF" w:rsidRDefault="004A5CEF">
      <w:pPr>
        <w:shd w:val="clear" w:color="auto" w:fill="FFFFFF"/>
        <w:rPr>
          <w:sz w:val="24"/>
          <w:szCs w:val="24"/>
        </w:rPr>
      </w:pPr>
    </w:p>
    <w:p w14:paraId="034EB4E3" w14:textId="268C5D9F" w:rsidR="004A5CEF" w:rsidRDefault="00DE2EC8">
      <w:pPr>
        <w:shd w:val="clear" w:color="auto" w:fill="FFFFFF"/>
        <w:rPr>
          <w:b/>
          <w:sz w:val="24"/>
          <w:szCs w:val="24"/>
        </w:rPr>
      </w:pPr>
      <w:r>
        <w:rPr>
          <w:sz w:val="24"/>
          <w:szCs w:val="24"/>
        </w:rPr>
        <w:t>“Global steel is already moving towards decarbonization, with increasing efforts to boost the amount of recyc</w:t>
      </w:r>
      <w:r>
        <w:rPr>
          <w:sz w:val="24"/>
          <w:szCs w:val="24"/>
        </w:rPr>
        <w:t xml:space="preserve">led steel, as well as retrofit and transition coal-based blast furnaces, increasing the use of renewables for power, and incorporating hydrogen or carbon-capture,” said </w:t>
      </w:r>
      <w:r>
        <w:rPr>
          <w:b/>
          <w:sz w:val="24"/>
          <w:szCs w:val="24"/>
        </w:rPr>
        <w:t>Isabella Suarez, Southeast Asia analyst at CREA.</w:t>
      </w:r>
    </w:p>
    <w:p w14:paraId="71F0558E" w14:textId="77777777" w:rsidR="002174A5" w:rsidRDefault="002174A5">
      <w:pPr>
        <w:shd w:val="clear" w:color="auto" w:fill="FFFFFF"/>
        <w:rPr>
          <w:b/>
          <w:sz w:val="24"/>
          <w:szCs w:val="24"/>
        </w:rPr>
      </w:pPr>
    </w:p>
    <w:p w14:paraId="7D7E2C0C" w14:textId="77777777" w:rsidR="004A5CEF" w:rsidRDefault="00DE2EC8">
      <w:pPr>
        <w:shd w:val="clear" w:color="auto" w:fill="FFFFFF"/>
        <w:rPr>
          <w:sz w:val="24"/>
          <w:szCs w:val="24"/>
        </w:rPr>
      </w:pPr>
      <w:r>
        <w:rPr>
          <w:sz w:val="24"/>
          <w:szCs w:val="24"/>
        </w:rPr>
        <w:t xml:space="preserve">“This report shows that by pursuing an ambitious Net Zero by 2050 roadmap, South Korea can not only lead these efforts in Asia but also yield massive gains in air quality and health for its citizens.” </w:t>
      </w:r>
    </w:p>
    <w:p w14:paraId="6C6CC26B" w14:textId="77777777" w:rsidR="004A5CEF" w:rsidRDefault="004A5CEF">
      <w:pPr>
        <w:shd w:val="clear" w:color="auto" w:fill="FFFFFF"/>
        <w:rPr>
          <w:sz w:val="24"/>
          <w:szCs w:val="24"/>
        </w:rPr>
      </w:pPr>
    </w:p>
    <w:p w14:paraId="236B6F98" w14:textId="77777777" w:rsidR="004A5CEF" w:rsidRDefault="00DE2EC8">
      <w:pPr>
        <w:shd w:val="clear" w:color="auto" w:fill="FFFFFF"/>
        <w:rPr>
          <w:sz w:val="24"/>
          <w:szCs w:val="24"/>
        </w:rPr>
      </w:pPr>
      <w:r>
        <w:rPr>
          <w:b/>
          <w:sz w:val="24"/>
          <w:szCs w:val="24"/>
        </w:rPr>
        <w:t xml:space="preserve">Access photos of the demonstration </w:t>
      </w:r>
      <w:hyperlink r:id="rId12">
        <w:r>
          <w:rPr>
            <w:b/>
            <w:color w:val="1155CC"/>
            <w:sz w:val="24"/>
            <w:szCs w:val="24"/>
            <w:u w:val="single"/>
          </w:rPr>
          <w:t>here</w:t>
        </w:r>
      </w:hyperlink>
      <w:r>
        <w:rPr>
          <w:b/>
          <w:sz w:val="24"/>
          <w:szCs w:val="24"/>
        </w:rPr>
        <w:t xml:space="preserve">. </w:t>
      </w:r>
      <w:r>
        <w:rPr>
          <w:sz w:val="24"/>
          <w:szCs w:val="24"/>
        </w:rPr>
        <w:t xml:space="preserve"> </w:t>
      </w:r>
    </w:p>
    <w:p w14:paraId="6BA4E346" w14:textId="77777777" w:rsidR="004A5CEF" w:rsidRDefault="00DE2EC8">
      <w:pPr>
        <w:shd w:val="clear" w:color="auto" w:fill="FFFFFF"/>
        <w:rPr>
          <w:sz w:val="24"/>
          <w:szCs w:val="24"/>
        </w:rPr>
      </w:pPr>
      <w:r>
        <w:rPr>
          <w:sz w:val="24"/>
          <w:szCs w:val="24"/>
        </w:rPr>
        <w:t xml:space="preserve">  </w:t>
      </w:r>
    </w:p>
    <w:p w14:paraId="2FAFD217" w14:textId="77777777" w:rsidR="004A5CEF" w:rsidRDefault="00DE2EC8">
      <w:pPr>
        <w:shd w:val="clear" w:color="auto" w:fill="FFFFFF"/>
        <w:rPr>
          <w:sz w:val="24"/>
          <w:szCs w:val="24"/>
        </w:rPr>
      </w:pPr>
      <w:r>
        <w:rPr>
          <w:sz w:val="24"/>
          <w:szCs w:val="24"/>
        </w:rPr>
        <w:t xml:space="preserve"> </w:t>
      </w:r>
    </w:p>
    <w:p w14:paraId="071B984C" w14:textId="77777777" w:rsidR="004A5CEF" w:rsidRDefault="00DE2EC8">
      <w:pPr>
        <w:shd w:val="clear" w:color="auto" w:fill="FFFFFF"/>
        <w:rPr>
          <w:sz w:val="24"/>
          <w:szCs w:val="24"/>
        </w:rPr>
      </w:pPr>
      <w:r>
        <w:rPr>
          <w:b/>
          <w:sz w:val="24"/>
          <w:szCs w:val="24"/>
        </w:rPr>
        <w:t>ENDS. </w:t>
      </w:r>
      <w:r>
        <w:rPr>
          <w:sz w:val="24"/>
          <w:szCs w:val="24"/>
        </w:rPr>
        <w:t xml:space="preserve">  </w:t>
      </w:r>
    </w:p>
    <w:p w14:paraId="48AE4A37" w14:textId="77777777" w:rsidR="004A5CEF" w:rsidRDefault="00DE2EC8">
      <w:pPr>
        <w:shd w:val="clear" w:color="auto" w:fill="FFFFFF"/>
        <w:rPr>
          <w:b/>
          <w:sz w:val="24"/>
          <w:szCs w:val="24"/>
        </w:rPr>
      </w:pPr>
      <w:r>
        <w:rPr>
          <w:b/>
          <w:i/>
          <w:sz w:val="24"/>
          <w:szCs w:val="24"/>
        </w:rPr>
        <w:br/>
      </w:r>
      <w:r>
        <w:rPr>
          <w:b/>
          <w:sz w:val="24"/>
          <w:szCs w:val="24"/>
        </w:rPr>
        <w:t>About SFOC</w:t>
      </w:r>
    </w:p>
    <w:p w14:paraId="6161F912" w14:textId="77777777" w:rsidR="004A5CEF" w:rsidRDefault="00DE2EC8">
      <w:pPr>
        <w:shd w:val="clear" w:color="auto" w:fill="FFFFFF"/>
        <w:rPr>
          <w:sz w:val="24"/>
          <w:szCs w:val="24"/>
        </w:rPr>
      </w:pPr>
      <w:r>
        <w:rPr>
          <w:sz w:val="24"/>
          <w:szCs w:val="24"/>
        </w:rPr>
        <w:t>Solutions for Our Climate (SFOC) is a South Korea-based group that advocates for st</w:t>
      </w:r>
      <w:r>
        <w:rPr>
          <w:sz w:val="24"/>
          <w:szCs w:val="24"/>
        </w:rPr>
        <w:t>ronger climate policies and reforms in power regulations. SFOC is led by legal, economic, financial, and environmental experts with experience in energy and climate policy and works closely with policymakers.</w:t>
      </w:r>
    </w:p>
    <w:p w14:paraId="069D0042" w14:textId="77777777" w:rsidR="004A5CEF" w:rsidRDefault="00DE2EC8">
      <w:pPr>
        <w:shd w:val="clear" w:color="auto" w:fill="FFFFFF"/>
        <w:rPr>
          <w:b/>
          <w:sz w:val="24"/>
          <w:szCs w:val="24"/>
        </w:rPr>
      </w:pPr>
      <w:r>
        <w:rPr>
          <w:b/>
          <w:i/>
          <w:sz w:val="24"/>
          <w:szCs w:val="24"/>
        </w:rPr>
        <w:br/>
      </w:r>
      <w:r>
        <w:rPr>
          <w:b/>
          <w:sz w:val="24"/>
          <w:szCs w:val="24"/>
        </w:rPr>
        <w:t>About CREA</w:t>
      </w:r>
    </w:p>
    <w:p w14:paraId="501F99D9" w14:textId="77777777" w:rsidR="004A5CEF" w:rsidRDefault="00DE2EC8">
      <w:pPr>
        <w:shd w:val="clear" w:color="auto" w:fill="FFFFFF"/>
        <w:rPr>
          <w:sz w:val="24"/>
          <w:szCs w:val="24"/>
        </w:rPr>
      </w:pPr>
      <w:r>
        <w:rPr>
          <w:sz w:val="24"/>
          <w:szCs w:val="24"/>
        </w:rPr>
        <w:t>The Centre for Research on Energy a</w:t>
      </w:r>
      <w:r>
        <w:rPr>
          <w:sz w:val="24"/>
          <w:szCs w:val="24"/>
        </w:rPr>
        <w:t xml:space="preserve">nd Clean Air (CREA) is an independent research organisation focused on revealing the trends, causes, and health impacts, as well as the solutions, to air pollution. CREA uses scientific data, </w:t>
      </w:r>
      <w:proofErr w:type="gramStart"/>
      <w:r>
        <w:rPr>
          <w:sz w:val="24"/>
          <w:szCs w:val="24"/>
        </w:rPr>
        <w:t>research</w:t>
      </w:r>
      <w:proofErr w:type="gramEnd"/>
      <w:r>
        <w:rPr>
          <w:sz w:val="24"/>
          <w:szCs w:val="24"/>
        </w:rPr>
        <w:t xml:space="preserve"> and evidence to support the efforts of governments, com</w:t>
      </w:r>
      <w:r>
        <w:rPr>
          <w:sz w:val="24"/>
          <w:szCs w:val="24"/>
        </w:rPr>
        <w:t>panies and campaigning organisations worldwide in their efforts to move towards clean energy and clean air. </w:t>
      </w:r>
      <w:r>
        <w:rPr>
          <w:i/>
          <w:sz w:val="24"/>
          <w:szCs w:val="24"/>
        </w:rPr>
        <w:t> </w:t>
      </w:r>
      <w:r>
        <w:rPr>
          <w:sz w:val="24"/>
          <w:szCs w:val="24"/>
        </w:rPr>
        <w:t xml:space="preserve">  </w:t>
      </w:r>
    </w:p>
    <w:p w14:paraId="675E0AAC" w14:textId="77777777" w:rsidR="004A5CEF" w:rsidRDefault="00DE2EC8">
      <w:pPr>
        <w:shd w:val="clear" w:color="auto" w:fill="FFFFFF"/>
        <w:rPr>
          <w:sz w:val="24"/>
          <w:szCs w:val="24"/>
        </w:rPr>
      </w:pPr>
      <w:r>
        <w:rPr>
          <w:sz w:val="24"/>
          <w:szCs w:val="24"/>
        </w:rPr>
        <w:t xml:space="preserve"> </w:t>
      </w:r>
    </w:p>
    <w:p w14:paraId="1DCC5775" w14:textId="77777777" w:rsidR="004A5CEF" w:rsidRDefault="00DE2EC8">
      <w:pPr>
        <w:shd w:val="clear" w:color="auto" w:fill="FFFFFF"/>
        <w:rPr>
          <w:sz w:val="24"/>
          <w:szCs w:val="24"/>
        </w:rPr>
      </w:pPr>
      <w:r>
        <w:rPr>
          <w:b/>
          <w:sz w:val="24"/>
          <w:szCs w:val="24"/>
        </w:rPr>
        <w:t>For media inquiries, please reach out to:</w:t>
      </w:r>
      <w:r>
        <w:rPr>
          <w:sz w:val="24"/>
          <w:szCs w:val="24"/>
        </w:rPr>
        <w:t xml:space="preserve">  </w:t>
      </w:r>
    </w:p>
    <w:p w14:paraId="4343D75B" w14:textId="77777777" w:rsidR="004A5CEF" w:rsidRDefault="00DE2EC8">
      <w:pPr>
        <w:shd w:val="clear" w:color="auto" w:fill="FFFFFF"/>
        <w:rPr>
          <w:sz w:val="24"/>
          <w:szCs w:val="24"/>
        </w:rPr>
      </w:pPr>
      <w:r>
        <w:rPr>
          <w:sz w:val="24"/>
          <w:szCs w:val="24"/>
        </w:rPr>
        <w:t xml:space="preserve">Euijin Kim, Communications Officer, </w:t>
      </w:r>
      <w:r>
        <w:rPr>
          <w:color w:val="0563C1"/>
          <w:sz w:val="24"/>
          <w:szCs w:val="24"/>
          <w:u w:val="single"/>
        </w:rPr>
        <w:t>euijin.kim@forourclimate.org</w:t>
      </w:r>
      <w:r>
        <w:rPr>
          <w:sz w:val="24"/>
          <w:szCs w:val="24"/>
        </w:rPr>
        <w:t xml:space="preserve"> </w:t>
      </w:r>
    </w:p>
    <w:p w14:paraId="1CA98C36" w14:textId="77777777" w:rsidR="004A5CEF" w:rsidRDefault="00DE2EC8">
      <w:pPr>
        <w:shd w:val="clear" w:color="auto" w:fill="FFFFFF"/>
        <w:rPr>
          <w:sz w:val="24"/>
          <w:szCs w:val="24"/>
        </w:rPr>
      </w:pPr>
      <w:r>
        <w:rPr>
          <w:sz w:val="24"/>
          <w:szCs w:val="24"/>
        </w:rPr>
        <w:t xml:space="preserve"> </w:t>
      </w:r>
    </w:p>
    <w:p w14:paraId="2F74B867" w14:textId="77777777" w:rsidR="004A5CEF" w:rsidRDefault="00DE2EC8">
      <w:pPr>
        <w:shd w:val="clear" w:color="auto" w:fill="FFFFFF"/>
        <w:rPr>
          <w:sz w:val="24"/>
          <w:szCs w:val="24"/>
        </w:rPr>
      </w:pPr>
      <w:r>
        <w:rPr>
          <w:b/>
          <w:sz w:val="24"/>
          <w:szCs w:val="24"/>
        </w:rPr>
        <w:t xml:space="preserve">Notes </w:t>
      </w:r>
      <w:r>
        <w:rPr>
          <w:sz w:val="24"/>
          <w:szCs w:val="24"/>
        </w:rPr>
        <w:t xml:space="preserve"> </w:t>
      </w:r>
    </w:p>
    <w:p w14:paraId="2BD31785" w14:textId="77777777" w:rsidR="004A5CEF" w:rsidRDefault="00DE2EC8">
      <w:pPr>
        <w:numPr>
          <w:ilvl w:val="0"/>
          <w:numId w:val="1"/>
        </w:numPr>
        <w:ind w:left="425"/>
        <w:rPr>
          <w:sz w:val="24"/>
          <w:szCs w:val="24"/>
        </w:rPr>
      </w:pPr>
      <w:r>
        <w:rPr>
          <w:sz w:val="24"/>
          <w:szCs w:val="24"/>
        </w:rPr>
        <w:t>This report used the C</w:t>
      </w:r>
      <w:r>
        <w:rPr>
          <w:sz w:val="24"/>
          <w:szCs w:val="24"/>
        </w:rPr>
        <w:t xml:space="preserve">ALPUFF meteorological and atmospheric dispersion </w:t>
      </w:r>
      <w:proofErr w:type="spellStart"/>
      <w:r>
        <w:rPr>
          <w:sz w:val="24"/>
          <w:szCs w:val="24"/>
        </w:rPr>
        <w:t>modeling</w:t>
      </w:r>
      <w:proofErr w:type="spellEnd"/>
      <w:r>
        <w:rPr>
          <w:sz w:val="24"/>
          <w:szCs w:val="24"/>
        </w:rPr>
        <w:t xml:space="preserve"> system to estimate the dispersion of air pollutants from steel plants in South Korea by using the information on near-surface emission concentration and pollutant emissions released from key stacks </w:t>
      </w:r>
      <w:r>
        <w:rPr>
          <w:sz w:val="24"/>
          <w:szCs w:val="24"/>
        </w:rPr>
        <w:t xml:space="preserve">within steel plants. These results were then applied to demographic statistics and health impact assessment methods to quantify the related health impact. </w:t>
      </w:r>
    </w:p>
    <w:p w14:paraId="5C3A0376" w14:textId="77777777" w:rsidR="004A5CEF" w:rsidRDefault="00DE2EC8">
      <w:pPr>
        <w:shd w:val="clear" w:color="auto" w:fill="FFFFFF"/>
        <w:ind w:left="425" w:hanging="360"/>
        <w:rPr>
          <w:sz w:val="24"/>
          <w:szCs w:val="24"/>
        </w:rPr>
      </w:pPr>
      <w:r>
        <w:rPr>
          <w:sz w:val="24"/>
          <w:szCs w:val="24"/>
        </w:rPr>
        <w:t xml:space="preserve"> </w:t>
      </w:r>
    </w:p>
    <w:p w14:paraId="38A39DE9" w14:textId="77777777" w:rsidR="004A5CEF" w:rsidRDefault="00DE2EC8">
      <w:pPr>
        <w:numPr>
          <w:ilvl w:val="0"/>
          <w:numId w:val="2"/>
        </w:numPr>
        <w:ind w:left="425"/>
        <w:rPr>
          <w:sz w:val="24"/>
          <w:szCs w:val="24"/>
        </w:rPr>
      </w:pPr>
      <w:r>
        <w:rPr>
          <w:sz w:val="24"/>
          <w:szCs w:val="24"/>
        </w:rPr>
        <w:t xml:space="preserve">The study compares the health impact under three scenarios: Current Policy, Net-Zero </w:t>
      </w:r>
      <w:proofErr w:type="gramStart"/>
      <w:r>
        <w:rPr>
          <w:sz w:val="24"/>
          <w:szCs w:val="24"/>
        </w:rPr>
        <w:t>2050</w:t>
      </w:r>
      <w:proofErr w:type="gramEnd"/>
      <w:r>
        <w:rPr>
          <w:sz w:val="24"/>
          <w:szCs w:val="24"/>
        </w:rPr>
        <w:t xml:space="preserve"> and Net-Zero 2050 with improvements in steel efficiency. </w:t>
      </w:r>
    </w:p>
    <w:p w14:paraId="77EDB787" w14:textId="77777777" w:rsidR="004A5CEF" w:rsidRDefault="00DE2EC8">
      <w:pPr>
        <w:numPr>
          <w:ilvl w:val="1"/>
          <w:numId w:val="2"/>
        </w:numPr>
        <w:ind w:left="992"/>
        <w:jc w:val="both"/>
        <w:rPr>
          <w:sz w:val="24"/>
          <w:szCs w:val="24"/>
        </w:rPr>
      </w:pPr>
      <w:r>
        <w:rPr>
          <w:sz w:val="24"/>
          <w:szCs w:val="24"/>
        </w:rPr>
        <w:t xml:space="preserve">Current Policy reflects South Korea’s current position in steelmaking technologies, drawing upon the energy </w:t>
      </w:r>
      <w:r>
        <w:rPr>
          <w:sz w:val="24"/>
          <w:szCs w:val="24"/>
        </w:rPr>
        <w:t>and climate policy instruments proposed by the Korea Institute for Industrial Economics and Trade (KIET) that are already in place (as of the timing of this study) or soon to be implemented as of March 2022.</w:t>
      </w:r>
    </w:p>
    <w:p w14:paraId="75A6A59C" w14:textId="77777777" w:rsidR="004A5CEF" w:rsidRDefault="00DE2EC8">
      <w:pPr>
        <w:numPr>
          <w:ilvl w:val="1"/>
          <w:numId w:val="2"/>
        </w:numPr>
        <w:ind w:left="992"/>
        <w:rPr>
          <w:sz w:val="24"/>
          <w:szCs w:val="24"/>
        </w:rPr>
      </w:pPr>
      <w:r>
        <w:rPr>
          <w:sz w:val="24"/>
          <w:szCs w:val="24"/>
        </w:rPr>
        <w:t>Net Zero 2050 assumes the same parameters for th</w:t>
      </w:r>
      <w:r>
        <w:rPr>
          <w:sz w:val="24"/>
          <w:szCs w:val="24"/>
        </w:rPr>
        <w:t xml:space="preserve">e country’s position in steelmaking technologies today, drawing upon the KIET’s steel production forecasts and considering the energy and climate policy instruments that are currently in place like </w:t>
      </w:r>
      <w:proofErr w:type="spellStart"/>
      <w:r>
        <w:rPr>
          <w:sz w:val="24"/>
          <w:szCs w:val="24"/>
        </w:rPr>
        <w:t>CurPol</w:t>
      </w:r>
      <w:proofErr w:type="spellEnd"/>
      <w:r>
        <w:rPr>
          <w:sz w:val="24"/>
          <w:szCs w:val="24"/>
        </w:rPr>
        <w:t xml:space="preserve">. It assumes that annual GHG emissions decline at a </w:t>
      </w:r>
      <w:r>
        <w:rPr>
          <w:sz w:val="24"/>
          <w:szCs w:val="24"/>
        </w:rPr>
        <w:t xml:space="preserve">uniform rate from 2025 until net zero is achieved by 2050. </w:t>
      </w:r>
    </w:p>
    <w:p w14:paraId="152C3D59" w14:textId="77777777" w:rsidR="004A5CEF" w:rsidRDefault="00DE2EC8">
      <w:pPr>
        <w:numPr>
          <w:ilvl w:val="1"/>
          <w:numId w:val="2"/>
        </w:numPr>
        <w:spacing w:after="240"/>
        <w:ind w:left="992"/>
        <w:rPr>
          <w:sz w:val="24"/>
          <w:szCs w:val="24"/>
        </w:rPr>
      </w:pPr>
      <w:r>
        <w:rPr>
          <w:sz w:val="24"/>
          <w:szCs w:val="24"/>
        </w:rPr>
        <w:t>Net Zero 2050 with improvements in steel efficiency scenario adopts the same assumptions as NZ2050, except that it presumes steel production linearly decreases by 22% from 2025 to 2050. The reduct</w:t>
      </w:r>
      <w:r>
        <w:rPr>
          <w:sz w:val="24"/>
          <w:szCs w:val="24"/>
        </w:rPr>
        <w:t>ion in production is enabled by increased efficiency - such as the efficiency increase in steel consumption and production.</w:t>
      </w:r>
    </w:p>
    <w:p w14:paraId="5D3A338E" w14:textId="77777777" w:rsidR="004A5CEF" w:rsidRDefault="00DE2EC8">
      <w:pPr>
        <w:ind w:left="1440"/>
        <w:rPr>
          <w:sz w:val="24"/>
          <w:szCs w:val="24"/>
        </w:rPr>
      </w:pPr>
      <w:r>
        <w:rPr>
          <w:sz w:val="24"/>
          <w:szCs w:val="24"/>
        </w:rPr>
        <w:t xml:space="preserve"> </w:t>
      </w:r>
    </w:p>
    <w:p w14:paraId="1CD8BF95" w14:textId="77777777" w:rsidR="004A5CEF" w:rsidRDefault="00DE2EC8">
      <w:pPr>
        <w:numPr>
          <w:ilvl w:val="0"/>
          <w:numId w:val="3"/>
        </w:numPr>
        <w:ind w:left="425"/>
        <w:rPr>
          <w:sz w:val="24"/>
          <w:szCs w:val="24"/>
        </w:rPr>
      </w:pPr>
      <w:r>
        <w:rPr>
          <w:sz w:val="24"/>
          <w:szCs w:val="24"/>
        </w:rPr>
        <w:t xml:space="preserve">The cumulative health effects of steel plants were estimated under the </w:t>
      </w:r>
      <w:proofErr w:type="gramStart"/>
      <w:r>
        <w:rPr>
          <w:sz w:val="24"/>
          <w:szCs w:val="24"/>
        </w:rPr>
        <w:t>aforementioned scenarios</w:t>
      </w:r>
      <w:proofErr w:type="gramEnd"/>
      <w:r>
        <w:rPr>
          <w:sz w:val="24"/>
          <w:szCs w:val="24"/>
        </w:rPr>
        <w:t>, and are shown in the table and gr</w:t>
      </w:r>
      <w:r>
        <w:rPr>
          <w:sz w:val="24"/>
          <w:szCs w:val="24"/>
        </w:rPr>
        <w:t xml:space="preserve">aph below: </w:t>
      </w:r>
    </w:p>
    <w:p w14:paraId="423A674F" w14:textId="77777777" w:rsidR="004A5CEF" w:rsidRDefault="00DE2EC8">
      <w:pPr>
        <w:shd w:val="clear" w:color="auto" w:fill="FFFFFF"/>
        <w:ind w:left="566" w:hanging="360"/>
        <w:rPr>
          <w:sz w:val="24"/>
          <w:szCs w:val="24"/>
        </w:rPr>
      </w:pPr>
      <w:r>
        <w:rPr>
          <w:sz w:val="24"/>
          <w:szCs w:val="24"/>
        </w:rPr>
        <w:t xml:space="preserve"> </w:t>
      </w:r>
    </w:p>
    <w:p w14:paraId="559A13AB" w14:textId="77777777" w:rsidR="004A5CEF" w:rsidRDefault="00DE2EC8">
      <w:pPr>
        <w:shd w:val="clear" w:color="auto" w:fill="FFFFFF"/>
        <w:ind w:right="-607"/>
        <w:jc w:val="center"/>
        <w:rPr>
          <w:sz w:val="24"/>
          <w:szCs w:val="24"/>
        </w:rPr>
      </w:pPr>
      <w:r>
        <w:rPr>
          <w:b/>
          <w:sz w:val="24"/>
          <w:szCs w:val="24"/>
        </w:rPr>
        <w:t>Cumulative premature deaths due to BF-BOF pollution under scenarios (2022-2050)</w:t>
      </w:r>
      <w:r>
        <w:rPr>
          <w:sz w:val="24"/>
          <w:szCs w:val="24"/>
        </w:rPr>
        <w:t xml:space="preserve"> </w:t>
      </w:r>
    </w:p>
    <w:tbl>
      <w:tblPr>
        <w:tblStyle w:val="a"/>
        <w:tblW w:w="984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2340"/>
        <w:gridCol w:w="2580"/>
        <w:gridCol w:w="2460"/>
        <w:gridCol w:w="2460"/>
      </w:tblGrid>
      <w:tr w:rsidR="004A5CEF" w14:paraId="591B5A96" w14:textId="77777777">
        <w:trPr>
          <w:trHeight w:val="577"/>
        </w:trPr>
        <w:tc>
          <w:tcPr>
            <w:tcW w:w="23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bottom"/>
          </w:tcPr>
          <w:p w14:paraId="12F17C63" w14:textId="77777777" w:rsidR="004A5CEF" w:rsidRDefault="00DE2EC8">
            <w:pPr>
              <w:spacing w:before="40" w:after="40"/>
              <w:ind w:left="-80" w:firstLine="221"/>
              <w:rPr>
                <w:sz w:val="24"/>
                <w:szCs w:val="24"/>
              </w:rPr>
            </w:pPr>
            <w:r>
              <w:rPr>
                <w:sz w:val="24"/>
                <w:szCs w:val="24"/>
              </w:rPr>
              <w:t>(</w:t>
            </w:r>
            <w:proofErr w:type="gramStart"/>
            <w:r>
              <w:rPr>
                <w:sz w:val="24"/>
                <w:szCs w:val="24"/>
              </w:rPr>
              <w:t>unit :</w:t>
            </w:r>
            <w:proofErr w:type="gramEnd"/>
            <w:r>
              <w:rPr>
                <w:sz w:val="24"/>
                <w:szCs w:val="24"/>
              </w:rPr>
              <w:t xml:space="preserve"> case) </w:t>
            </w:r>
          </w:p>
        </w:tc>
        <w:tc>
          <w:tcPr>
            <w:tcW w:w="25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53D9FB4" w14:textId="77777777" w:rsidR="004A5CEF" w:rsidRDefault="00DE2EC8">
            <w:pPr>
              <w:spacing w:before="40" w:after="40"/>
              <w:ind w:left="-80"/>
              <w:jc w:val="center"/>
              <w:rPr>
                <w:sz w:val="24"/>
                <w:szCs w:val="24"/>
              </w:rPr>
            </w:pPr>
            <w:r>
              <w:rPr>
                <w:b/>
                <w:sz w:val="24"/>
                <w:szCs w:val="24"/>
              </w:rPr>
              <w:t>Current Policy</w:t>
            </w:r>
            <w:r>
              <w:rPr>
                <w:sz w:val="24"/>
                <w:szCs w:val="24"/>
              </w:rPr>
              <w:t xml:space="preserve"> </w:t>
            </w:r>
          </w:p>
        </w:tc>
        <w:tc>
          <w:tcPr>
            <w:tcW w:w="24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824B001" w14:textId="77777777" w:rsidR="004A5CEF" w:rsidRDefault="00DE2EC8">
            <w:pPr>
              <w:spacing w:before="40" w:after="40"/>
              <w:ind w:left="-80"/>
              <w:jc w:val="center"/>
              <w:rPr>
                <w:sz w:val="24"/>
                <w:szCs w:val="24"/>
              </w:rPr>
            </w:pPr>
            <w:r>
              <w:rPr>
                <w:b/>
                <w:sz w:val="24"/>
                <w:szCs w:val="24"/>
              </w:rPr>
              <w:t>Net-Zero 2050</w:t>
            </w:r>
            <w:r>
              <w:rPr>
                <w:sz w:val="24"/>
                <w:szCs w:val="24"/>
              </w:rPr>
              <w:t xml:space="preserve"> </w:t>
            </w:r>
          </w:p>
        </w:tc>
        <w:tc>
          <w:tcPr>
            <w:tcW w:w="24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280FA9D" w14:textId="77777777" w:rsidR="004A5CEF" w:rsidRDefault="00DE2EC8">
            <w:pPr>
              <w:spacing w:before="40" w:after="40"/>
              <w:ind w:left="-80"/>
              <w:jc w:val="center"/>
              <w:rPr>
                <w:sz w:val="24"/>
                <w:szCs w:val="24"/>
              </w:rPr>
            </w:pPr>
            <w:r>
              <w:rPr>
                <w:b/>
                <w:sz w:val="24"/>
                <w:szCs w:val="24"/>
              </w:rPr>
              <w:t>Net-Zero 2050 + Efficiency</w:t>
            </w:r>
            <w:r>
              <w:rPr>
                <w:sz w:val="24"/>
                <w:szCs w:val="24"/>
              </w:rPr>
              <w:t xml:space="preserve"> </w:t>
            </w:r>
          </w:p>
        </w:tc>
      </w:tr>
      <w:tr w:rsidR="004A5CEF" w14:paraId="63A57147" w14:textId="77777777">
        <w:trPr>
          <w:trHeight w:val="872"/>
        </w:trPr>
        <w:tc>
          <w:tcPr>
            <w:tcW w:w="23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6F0895" w14:textId="77777777" w:rsidR="004A5CEF" w:rsidRDefault="00DE2EC8">
            <w:pPr>
              <w:spacing w:before="40" w:after="40"/>
              <w:ind w:left="-80" w:firstLine="221"/>
              <w:rPr>
                <w:b/>
                <w:sz w:val="24"/>
                <w:szCs w:val="24"/>
              </w:rPr>
            </w:pPr>
            <w:r>
              <w:rPr>
                <w:b/>
                <w:sz w:val="24"/>
                <w:szCs w:val="24"/>
              </w:rPr>
              <w:t>Cumulative</w:t>
            </w:r>
          </w:p>
          <w:p w14:paraId="03A8F8AD" w14:textId="77777777" w:rsidR="004A5CEF" w:rsidRDefault="00DE2EC8">
            <w:pPr>
              <w:spacing w:before="40" w:after="40"/>
              <w:ind w:left="-80" w:firstLine="221"/>
              <w:rPr>
                <w:sz w:val="24"/>
                <w:szCs w:val="24"/>
              </w:rPr>
            </w:pPr>
            <w:r>
              <w:rPr>
                <w:b/>
                <w:sz w:val="24"/>
                <w:szCs w:val="24"/>
              </w:rPr>
              <w:t>Premature Deaths</w:t>
            </w:r>
            <w:r>
              <w:rPr>
                <w:sz w:val="24"/>
                <w:szCs w:val="24"/>
              </w:rPr>
              <w:t xml:space="preserve"> </w:t>
            </w:r>
          </w:p>
        </w:tc>
        <w:tc>
          <w:tcPr>
            <w:tcW w:w="258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0458AF56" w14:textId="77777777" w:rsidR="004A5CEF" w:rsidRDefault="00DE2EC8">
            <w:pPr>
              <w:spacing w:line="240" w:lineRule="auto"/>
              <w:ind w:left="-80"/>
              <w:jc w:val="center"/>
              <w:rPr>
                <w:sz w:val="24"/>
                <w:szCs w:val="24"/>
              </w:rPr>
            </w:pPr>
            <w:r>
              <w:rPr>
                <w:sz w:val="24"/>
                <w:szCs w:val="24"/>
              </w:rPr>
              <w:t xml:space="preserve">19,355 </w:t>
            </w:r>
          </w:p>
          <w:p w14:paraId="594B2958" w14:textId="77777777" w:rsidR="004A5CEF" w:rsidRDefault="00DE2EC8">
            <w:pPr>
              <w:spacing w:line="240" w:lineRule="auto"/>
              <w:ind w:left="-80"/>
              <w:jc w:val="center"/>
              <w:rPr>
                <w:sz w:val="24"/>
                <w:szCs w:val="24"/>
              </w:rPr>
            </w:pPr>
            <w:r>
              <w:rPr>
                <w:sz w:val="24"/>
                <w:szCs w:val="24"/>
              </w:rPr>
              <w:t xml:space="preserve">(12,478 – 26,774) </w:t>
            </w:r>
          </w:p>
        </w:tc>
        <w:tc>
          <w:tcPr>
            <w:tcW w:w="24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37DEA2A" w14:textId="77777777" w:rsidR="004A5CEF" w:rsidRDefault="00DE2EC8">
            <w:pPr>
              <w:spacing w:line="240" w:lineRule="auto"/>
              <w:ind w:left="-80"/>
              <w:jc w:val="center"/>
              <w:rPr>
                <w:sz w:val="24"/>
                <w:szCs w:val="24"/>
              </w:rPr>
            </w:pPr>
            <w:r>
              <w:rPr>
                <w:sz w:val="24"/>
                <w:szCs w:val="24"/>
              </w:rPr>
              <w:t xml:space="preserve">10,052 </w:t>
            </w:r>
          </w:p>
          <w:p w14:paraId="008D14E5" w14:textId="77777777" w:rsidR="004A5CEF" w:rsidRDefault="00DE2EC8">
            <w:pPr>
              <w:spacing w:line="240" w:lineRule="auto"/>
              <w:ind w:left="-80"/>
              <w:jc w:val="center"/>
              <w:rPr>
                <w:sz w:val="24"/>
                <w:szCs w:val="24"/>
              </w:rPr>
            </w:pPr>
            <w:r>
              <w:rPr>
                <w:sz w:val="24"/>
                <w:szCs w:val="24"/>
              </w:rPr>
              <w:t xml:space="preserve">(6,471 – 13,915) </w:t>
            </w:r>
          </w:p>
        </w:tc>
        <w:tc>
          <w:tcPr>
            <w:tcW w:w="246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14:paraId="3F673B2E" w14:textId="77777777" w:rsidR="004A5CEF" w:rsidRDefault="00DE2EC8">
            <w:pPr>
              <w:spacing w:line="240" w:lineRule="auto"/>
              <w:ind w:left="-80"/>
              <w:jc w:val="center"/>
              <w:rPr>
                <w:sz w:val="24"/>
                <w:szCs w:val="24"/>
              </w:rPr>
            </w:pPr>
            <w:r>
              <w:rPr>
                <w:sz w:val="24"/>
                <w:szCs w:val="24"/>
              </w:rPr>
              <w:t xml:space="preserve">9,556 </w:t>
            </w:r>
          </w:p>
          <w:p w14:paraId="76563112" w14:textId="77777777" w:rsidR="004A5CEF" w:rsidRDefault="00DE2EC8">
            <w:pPr>
              <w:spacing w:line="240" w:lineRule="auto"/>
              <w:ind w:left="-80"/>
              <w:jc w:val="center"/>
              <w:rPr>
                <w:sz w:val="24"/>
                <w:szCs w:val="24"/>
              </w:rPr>
            </w:pPr>
            <w:r>
              <w:rPr>
                <w:sz w:val="24"/>
                <w:szCs w:val="24"/>
              </w:rPr>
              <w:t>(6,157 - 13,223)</w:t>
            </w:r>
          </w:p>
        </w:tc>
      </w:tr>
    </w:tbl>
    <w:p w14:paraId="5CF7A6CE" w14:textId="77777777" w:rsidR="004A5CEF" w:rsidRDefault="00DE2EC8">
      <w:pPr>
        <w:shd w:val="clear" w:color="auto" w:fill="FFFFFF"/>
        <w:rPr>
          <w:sz w:val="24"/>
          <w:szCs w:val="24"/>
        </w:rPr>
      </w:pPr>
      <w:r>
        <w:rPr>
          <w:sz w:val="24"/>
          <w:szCs w:val="24"/>
        </w:rPr>
        <w:t xml:space="preserve"> </w:t>
      </w:r>
    </w:p>
    <w:p w14:paraId="23C709E6" w14:textId="77777777" w:rsidR="004A5CEF" w:rsidRDefault="00DE2EC8">
      <w:pPr>
        <w:shd w:val="clear" w:color="auto" w:fill="FFFFFF"/>
        <w:jc w:val="right"/>
        <w:rPr>
          <w:sz w:val="24"/>
          <w:szCs w:val="24"/>
        </w:rPr>
      </w:pPr>
      <w:r>
        <w:rPr>
          <w:sz w:val="24"/>
          <w:szCs w:val="24"/>
        </w:rPr>
        <w:t xml:space="preserve">(95% Confidence Interval) </w:t>
      </w:r>
    </w:p>
    <w:p w14:paraId="25D386F6" w14:textId="77777777" w:rsidR="004A5CEF" w:rsidRDefault="004A5CEF">
      <w:pPr>
        <w:shd w:val="clear" w:color="auto" w:fill="FFFFFF"/>
        <w:jc w:val="right"/>
        <w:rPr>
          <w:sz w:val="24"/>
          <w:szCs w:val="24"/>
        </w:rPr>
      </w:pPr>
    </w:p>
    <w:p w14:paraId="5D24CED6" w14:textId="5F0CAC2E" w:rsidR="004A5CEF" w:rsidRPr="00257A8B" w:rsidRDefault="004A5CEF" w:rsidP="00257A8B">
      <w:pPr>
        <w:shd w:val="clear" w:color="auto" w:fill="FFFFFF"/>
        <w:rPr>
          <w:sz w:val="24"/>
          <w:szCs w:val="24"/>
        </w:rPr>
      </w:pPr>
    </w:p>
    <w:sectPr w:rsidR="004A5CEF" w:rsidRPr="00257A8B">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01BD5"/>
    <w:multiLevelType w:val="multilevel"/>
    <w:tmpl w:val="06100E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B564220"/>
    <w:multiLevelType w:val="multilevel"/>
    <w:tmpl w:val="12965C34"/>
    <w:lvl w:ilvl="0">
      <w:start w:val="1"/>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4021624E"/>
    <w:multiLevelType w:val="multilevel"/>
    <w:tmpl w:val="46FCAAC8"/>
    <w:lvl w:ilvl="0">
      <w:start w:val="2"/>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42FA36E6"/>
    <w:multiLevelType w:val="multilevel"/>
    <w:tmpl w:val="92A09D04"/>
    <w:lvl w:ilvl="0">
      <w:start w:val="3"/>
      <w:numFmt w:val="decimal"/>
      <w:lvlText w:val="%1."/>
      <w:lvlJc w:val="left"/>
      <w:pPr>
        <w:ind w:left="720" w:hanging="360"/>
      </w:pPr>
      <w:rPr>
        <w:rFonts w:ascii="Arial" w:eastAsia="Arial" w:hAnsi="Arial" w:cs="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16cid:durableId="1741709873">
    <w:abstractNumId w:val="1"/>
  </w:num>
  <w:num w:numId="2" w16cid:durableId="1454866326">
    <w:abstractNumId w:val="2"/>
  </w:num>
  <w:num w:numId="3" w16cid:durableId="1785807052">
    <w:abstractNumId w:val="3"/>
  </w:num>
  <w:num w:numId="4" w16cid:durableId="20432819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CEF"/>
    <w:rsid w:val="002174A5"/>
    <w:rsid w:val="00257A8B"/>
    <w:rsid w:val="002C0F47"/>
    <w:rsid w:val="004A5CEF"/>
    <w:rsid w:val="00512DA3"/>
    <w:rsid w:val="00542A1F"/>
    <w:rsid w:val="006E0093"/>
    <w:rsid w:val="00985B1E"/>
    <w:rsid w:val="00A510AB"/>
    <w:rsid w:val="00C85787"/>
    <w:rsid w:val="00D027D2"/>
    <w:rsid w:val="00DD2DFC"/>
    <w:rsid w:val="00DE2EC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FBCC5"/>
  <w15:docId w15:val="{AE6703C9-2854-4506-9CC0-8E5D263F4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en-GB"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eastAsia="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kedglobal.com/steel/newsView/ked20220102000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edglobal.com/steel/newsView/ked202201020003" TargetMode="External"/><Relationship Id="rId12" Type="http://schemas.openxmlformats.org/officeDocument/2006/relationships/hyperlink" Target="https://forourclimate.sharepoint.com/:f:/s/share/EtaazxyxWGZOkJyn27AgHU8BOSdsPF9PqyFRtnvRP3K_FA?e=jasqQ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s://www.iea.org/data-and-statistics/charts/global-crude-steel-production-by-process-route-and-scenario-2019-2050" TargetMode="External"/><Relationship Id="rId5" Type="http://schemas.openxmlformats.org/officeDocument/2006/relationships/image" Target="media/image1.png"/><Relationship Id="rId10" Type="http://schemas.openxmlformats.org/officeDocument/2006/relationships/hyperlink" Target="https://www.iea.org/data-and-statistics/charts/global-crude-steel-production-by-process-route-and-scenario-2019-2050"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1101</Words>
  <Characters>6057</Characters>
  <Application>Microsoft Office Word</Application>
  <DocSecurity>0</DocSecurity>
  <Lines>163</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Euijin Kim</dc:creator>
  <cp:lastModifiedBy>Euijin Kim</cp:lastModifiedBy>
  <cp:revision>2</cp:revision>
  <dcterms:created xsi:type="dcterms:W3CDTF">2022-11-28T01:47:00Z</dcterms:created>
  <dcterms:modified xsi:type="dcterms:W3CDTF">2022-11-28T01:47:00Z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b44a50256791d264fb85756dc3a914b7d6a91744782653b401d1c023fbe46198</vt:lpwstr>
  </property>
</Properties>
</file>